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C46" w:rsidRPr="00B9007D" w:rsidRDefault="00B32B1D" w:rsidP="00286DE4">
      <w:pPr>
        <w:pStyle w:val="1"/>
        <w:spacing w:line="276" w:lineRule="auto"/>
        <w:ind w:firstLine="0"/>
        <w:jc w:val="center"/>
        <w:rPr>
          <w:sz w:val="28"/>
        </w:rPr>
      </w:pPr>
      <w:r w:rsidRPr="00B9007D">
        <w:rPr>
          <w:b/>
          <w:bCs/>
          <w:sz w:val="28"/>
        </w:rPr>
        <w:t>ДОКЛАД</w:t>
      </w:r>
    </w:p>
    <w:p w:rsidR="00707C46" w:rsidRPr="00B9007D" w:rsidRDefault="00B32B1D" w:rsidP="00286DE4">
      <w:pPr>
        <w:pStyle w:val="1"/>
        <w:spacing w:after="380" w:line="276" w:lineRule="auto"/>
        <w:ind w:firstLine="0"/>
        <w:jc w:val="center"/>
        <w:rPr>
          <w:sz w:val="28"/>
        </w:rPr>
      </w:pPr>
      <w:r w:rsidRPr="00B9007D">
        <w:rPr>
          <w:b/>
          <w:bCs/>
          <w:sz w:val="28"/>
        </w:rPr>
        <w:t>об организации антимонопольного комплаенса в Министерстве</w:t>
      </w:r>
      <w:r w:rsidRPr="00B9007D">
        <w:rPr>
          <w:b/>
          <w:bCs/>
          <w:sz w:val="28"/>
        </w:rPr>
        <w:br/>
      </w:r>
      <w:r w:rsidR="000D7D70" w:rsidRPr="00B9007D">
        <w:rPr>
          <w:b/>
          <w:bCs/>
          <w:sz w:val="28"/>
        </w:rPr>
        <w:t xml:space="preserve">по делам молодежи </w:t>
      </w:r>
      <w:r w:rsidRPr="00B9007D">
        <w:rPr>
          <w:b/>
          <w:bCs/>
          <w:sz w:val="28"/>
        </w:rPr>
        <w:t>Республики Дагестан в 2024 г.</w:t>
      </w:r>
    </w:p>
    <w:p w:rsidR="00707C46" w:rsidRPr="00B9007D" w:rsidRDefault="00B32B1D" w:rsidP="00286DE4">
      <w:pPr>
        <w:pStyle w:val="1"/>
        <w:numPr>
          <w:ilvl w:val="0"/>
          <w:numId w:val="1"/>
        </w:numPr>
        <w:tabs>
          <w:tab w:val="left" w:pos="294"/>
        </w:tabs>
        <w:spacing w:line="276" w:lineRule="auto"/>
        <w:ind w:firstLine="0"/>
        <w:jc w:val="center"/>
        <w:rPr>
          <w:sz w:val="28"/>
        </w:rPr>
      </w:pPr>
      <w:r w:rsidRPr="00B9007D">
        <w:rPr>
          <w:b/>
          <w:bCs/>
          <w:sz w:val="28"/>
        </w:rPr>
        <w:t>Организация системы внутреннего обеспечения соответствия деятельности</w:t>
      </w:r>
      <w:r w:rsidRPr="00B9007D">
        <w:rPr>
          <w:b/>
          <w:bCs/>
          <w:sz w:val="28"/>
        </w:rPr>
        <w:br/>
        <w:t xml:space="preserve">Министерства </w:t>
      </w:r>
      <w:r w:rsidR="000D7D70" w:rsidRPr="00B9007D">
        <w:rPr>
          <w:b/>
          <w:bCs/>
          <w:sz w:val="28"/>
        </w:rPr>
        <w:t xml:space="preserve">по делам молодежи </w:t>
      </w:r>
      <w:r w:rsidRPr="00B9007D">
        <w:rPr>
          <w:b/>
          <w:bCs/>
          <w:sz w:val="28"/>
        </w:rPr>
        <w:t xml:space="preserve">Республики Дагестан </w:t>
      </w:r>
      <w:r w:rsidR="000D7D70" w:rsidRPr="00B9007D">
        <w:rPr>
          <w:b/>
          <w:bCs/>
          <w:sz w:val="28"/>
        </w:rPr>
        <w:t xml:space="preserve">требованиям </w:t>
      </w:r>
      <w:r w:rsidRPr="00B9007D">
        <w:rPr>
          <w:b/>
          <w:bCs/>
          <w:sz w:val="28"/>
        </w:rPr>
        <w:t>антимонопольного законодательства</w:t>
      </w:r>
    </w:p>
    <w:p w:rsidR="000D7D70" w:rsidRDefault="000D7D70" w:rsidP="00286DE4">
      <w:pPr>
        <w:pStyle w:val="1"/>
        <w:tabs>
          <w:tab w:val="left" w:pos="294"/>
        </w:tabs>
        <w:spacing w:line="276" w:lineRule="auto"/>
        <w:ind w:firstLine="0"/>
      </w:pPr>
    </w:p>
    <w:p w:rsidR="00707C46" w:rsidRPr="006A6DDB" w:rsidRDefault="00B32B1D" w:rsidP="00286DE4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6A6DDB">
        <w:rPr>
          <w:sz w:val="28"/>
          <w:szCs w:val="28"/>
        </w:rPr>
        <w:t xml:space="preserve">В целях реализации Национального плана развития конкуренции в Российской Федерации на 2018 - 2020 годы, утвержденного Указом Президента Российской Федерации от 21 декабря 2017 года № 618 «Об основных направлениях государственной политики по развитию конкуренции» </w:t>
      </w:r>
      <w:r w:rsidR="00D60E77" w:rsidRPr="006A6DDB">
        <w:rPr>
          <w:sz w:val="28"/>
          <w:szCs w:val="28"/>
        </w:rPr>
        <w:t>Министерством по делам молодежи</w:t>
      </w:r>
      <w:r w:rsidRPr="006A6DDB">
        <w:rPr>
          <w:sz w:val="28"/>
          <w:szCs w:val="28"/>
        </w:rPr>
        <w:t xml:space="preserve"> Дагестана </w:t>
      </w:r>
      <w:r w:rsidR="00D60E77" w:rsidRPr="006A6DDB">
        <w:rPr>
          <w:sz w:val="28"/>
          <w:szCs w:val="28"/>
        </w:rPr>
        <w:t xml:space="preserve">(далее – Министерство) </w:t>
      </w:r>
      <w:r w:rsidRPr="006A6DDB">
        <w:rPr>
          <w:sz w:val="28"/>
          <w:szCs w:val="28"/>
        </w:rPr>
        <w:t>издан приказ от 2</w:t>
      </w:r>
      <w:r w:rsidR="000D7D70" w:rsidRPr="006A6DDB">
        <w:rPr>
          <w:sz w:val="28"/>
          <w:szCs w:val="28"/>
        </w:rPr>
        <w:t xml:space="preserve">6 ноября 2018 </w:t>
      </w:r>
      <w:r w:rsidR="00B9007D">
        <w:rPr>
          <w:sz w:val="28"/>
          <w:szCs w:val="28"/>
        </w:rPr>
        <w:t xml:space="preserve">             </w:t>
      </w:r>
      <w:r w:rsidR="000D7D70" w:rsidRPr="006A6DDB">
        <w:rPr>
          <w:sz w:val="28"/>
          <w:szCs w:val="28"/>
        </w:rPr>
        <w:t>№ 77-о/д</w:t>
      </w:r>
      <w:r w:rsidRPr="006A6DDB">
        <w:rPr>
          <w:sz w:val="28"/>
          <w:szCs w:val="28"/>
        </w:rPr>
        <w:t xml:space="preserve"> «Об организации системы внутреннего обеспечения соответствия требованиям антимонопольного законодательства в Министерстве </w:t>
      </w:r>
      <w:r w:rsidR="000D7D70" w:rsidRPr="006A6DDB">
        <w:rPr>
          <w:sz w:val="28"/>
          <w:szCs w:val="28"/>
        </w:rPr>
        <w:t>по делам молодежи</w:t>
      </w:r>
      <w:r w:rsidRPr="006A6DDB">
        <w:rPr>
          <w:sz w:val="28"/>
          <w:szCs w:val="28"/>
        </w:rPr>
        <w:t xml:space="preserve"> Республики Дагестан</w:t>
      </w:r>
      <w:r w:rsidR="000D7D70" w:rsidRPr="006A6DDB">
        <w:rPr>
          <w:sz w:val="28"/>
          <w:szCs w:val="28"/>
        </w:rPr>
        <w:t xml:space="preserve">» </w:t>
      </w:r>
      <w:r w:rsidR="00B9007D" w:rsidRPr="006A6DDB">
        <w:rPr>
          <w:sz w:val="28"/>
          <w:szCs w:val="28"/>
        </w:rPr>
        <w:t>(далее - Положение об антимонопольном комплаенсе)</w:t>
      </w:r>
      <w:r w:rsidRPr="006A6DDB">
        <w:rPr>
          <w:sz w:val="28"/>
          <w:szCs w:val="28"/>
        </w:rPr>
        <w:t>.</w:t>
      </w:r>
    </w:p>
    <w:p w:rsidR="00707C46" w:rsidRPr="006A6DDB" w:rsidRDefault="00B32B1D" w:rsidP="00286DE4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6A6DDB">
        <w:rPr>
          <w:sz w:val="28"/>
          <w:szCs w:val="28"/>
        </w:rPr>
        <w:t xml:space="preserve">В соответствии с указанным приказом уполномоченным подразделением, ответственным за организацию и функционирование системы внутреннего обеспечения соответствия требованиям антимонопольного законодательства в </w:t>
      </w:r>
      <w:r w:rsidR="00D60E77" w:rsidRPr="006A6DDB">
        <w:rPr>
          <w:sz w:val="28"/>
          <w:szCs w:val="28"/>
        </w:rPr>
        <w:t>Министерством</w:t>
      </w:r>
      <w:r w:rsidR="000D7D70" w:rsidRPr="006A6DDB">
        <w:rPr>
          <w:sz w:val="28"/>
          <w:szCs w:val="28"/>
        </w:rPr>
        <w:t xml:space="preserve">, определен отдел финансового обеспечения, кадровой и организационно- правовой работы </w:t>
      </w:r>
      <w:r w:rsidRPr="006A6DDB">
        <w:rPr>
          <w:sz w:val="28"/>
          <w:szCs w:val="28"/>
        </w:rPr>
        <w:t>(далее - уполномоченное подразделение).</w:t>
      </w:r>
    </w:p>
    <w:p w:rsidR="00707C46" w:rsidRPr="006A6DDB" w:rsidRDefault="00B32B1D" w:rsidP="00286DE4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6A6DDB">
        <w:rPr>
          <w:sz w:val="28"/>
          <w:szCs w:val="28"/>
        </w:rPr>
        <w:t xml:space="preserve">В соответствии с </w:t>
      </w:r>
      <w:r w:rsidR="00B9007D" w:rsidRPr="006A6DDB">
        <w:rPr>
          <w:sz w:val="28"/>
          <w:szCs w:val="28"/>
        </w:rPr>
        <w:t>Положение</w:t>
      </w:r>
      <w:r w:rsidR="00B9007D">
        <w:rPr>
          <w:sz w:val="28"/>
          <w:szCs w:val="28"/>
        </w:rPr>
        <w:t>м</w:t>
      </w:r>
      <w:r w:rsidR="00B9007D" w:rsidRPr="006A6DDB">
        <w:rPr>
          <w:sz w:val="28"/>
          <w:szCs w:val="28"/>
        </w:rPr>
        <w:t xml:space="preserve"> об антимонопольном комплаенсе</w:t>
      </w:r>
      <w:r w:rsidRPr="006A6DDB">
        <w:rPr>
          <w:sz w:val="28"/>
          <w:szCs w:val="28"/>
        </w:rPr>
        <w:t xml:space="preserve"> в целях выявления рисков нарушения антимонопольного законодательства уполномоченным подразделением Министерства на регулярной основе осуществляется</w:t>
      </w:r>
      <w:r w:rsidR="00D60E77" w:rsidRPr="006A6DDB">
        <w:rPr>
          <w:sz w:val="28"/>
          <w:szCs w:val="28"/>
        </w:rPr>
        <w:t xml:space="preserve"> </w:t>
      </w:r>
      <w:r w:rsidRPr="006A6DDB">
        <w:rPr>
          <w:sz w:val="28"/>
          <w:szCs w:val="28"/>
        </w:rPr>
        <w:t>выполнение комплекса мероприятий, направленных на выявление рисков нарушения антимонопольного законодательства.</w:t>
      </w:r>
    </w:p>
    <w:p w:rsidR="00707C46" w:rsidRPr="006A6DDB" w:rsidRDefault="00B32B1D" w:rsidP="00286DE4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6A6DDB">
        <w:rPr>
          <w:sz w:val="28"/>
          <w:szCs w:val="28"/>
        </w:rPr>
        <w:t>При выявлении рисков нарушения антимонопольного законодательства проводится оценка таких рисков с учетом показателей, предусмотренных Положением об антимонопольном комплаенсе, а также составляется описание рисков, в которое включается оценка причин и условия возникновения рисков.</w:t>
      </w:r>
    </w:p>
    <w:p w:rsidR="00707C46" w:rsidRPr="006A6DDB" w:rsidRDefault="00B32B1D" w:rsidP="00286DE4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6A6DDB">
        <w:rPr>
          <w:sz w:val="28"/>
          <w:szCs w:val="28"/>
        </w:rPr>
        <w:t>По результатам проведения оценки рисков, выявленных по результатам проведенных мероприятий антимонопольного комплаенса, уполномоченным подразделением составляются карты рисков.</w:t>
      </w:r>
    </w:p>
    <w:p w:rsidR="00707C46" w:rsidRPr="006A6DDB" w:rsidRDefault="00B32B1D" w:rsidP="00286DE4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6A6DDB">
        <w:rPr>
          <w:sz w:val="28"/>
          <w:szCs w:val="28"/>
        </w:rPr>
        <w:t>В целях снижения рисков нарушения антимонопольного законодательства разрабатываются (не реже 1 раза в год) мероприятия по снижению рисков нарушения антимонопольного законодательства (план мероприятий).</w:t>
      </w:r>
    </w:p>
    <w:p w:rsidR="00707C46" w:rsidRPr="006A6DDB" w:rsidRDefault="00B32B1D" w:rsidP="00286DE4">
      <w:pPr>
        <w:pStyle w:val="1"/>
        <w:spacing w:after="320" w:line="276" w:lineRule="auto"/>
        <w:ind w:firstLine="560"/>
        <w:jc w:val="both"/>
        <w:rPr>
          <w:sz w:val="28"/>
          <w:szCs w:val="28"/>
        </w:rPr>
      </w:pPr>
      <w:r w:rsidRPr="006A6DDB">
        <w:rPr>
          <w:sz w:val="28"/>
          <w:szCs w:val="28"/>
        </w:rPr>
        <w:t>На официальном сайте Министерства в информационно</w:t>
      </w:r>
      <w:r w:rsidR="00D60E77" w:rsidRPr="006A6DDB">
        <w:rPr>
          <w:sz w:val="28"/>
          <w:szCs w:val="28"/>
        </w:rPr>
        <w:t>-</w:t>
      </w:r>
      <w:r w:rsidRPr="006A6DDB">
        <w:rPr>
          <w:sz w:val="28"/>
          <w:szCs w:val="28"/>
        </w:rPr>
        <w:softHyphen/>
        <w:t xml:space="preserve">телекоммуникационной сети «Интернет» в разделе «Деятельность» создан </w:t>
      </w:r>
      <w:r w:rsidRPr="006A6DDB">
        <w:rPr>
          <w:sz w:val="28"/>
          <w:szCs w:val="28"/>
        </w:rPr>
        <w:lastRenderedPageBreak/>
        <w:t>подраздел «Антимонопольный комплаенс» в целях обеспечения свободного доступа к документам, связанным с организацией функционирования системы внутреннего обеспечения соответствия требованиям антимонопольного законодательства.</w:t>
      </w:r>
    </w:p>
    <w:p w:rsidR="00707C46" w:rsidRPr="006A6DDB" w:rsidRDefault="00B32B1D" w:rsidP="00286DE4">
      <w:pPr>
        <w:pStyle w:val="1"/>
        <w:numPr>
          <w:ilvl w:val="0"/>
          <w:numId w:val="1"/>
        </w:numPr>
        <w:tabs>
          <w:tab w:val="left" w:pos="409"/>
        </w:tabs>
        <w:spacing w:line="276" w:lineRule="auto"/>
        <w:ind w:firstLine="0"/>
        <w:jc w:val="center"/>
        <w:rPr>
          <w:sz w:val="28"/>
          <w:szCs w:val="28"/>
        </w:rPr>
      </w:pPr>
      <w:r w:rsidRPr="006A6DDB">
        <w:rPr>
          <w:b/>
          <w:bCs/>
          <w:sz w:val="28"/>
          <w:szCs w:val="28"/>
        </w:rPr>
        <w:t>Информация о проведении выявления и оценки рисков нарушения</w:t>
      </w:r>
      <w:r w:rsidRPr="006A6DDB">
        <w:rPr>
          <w:b/>
          <w:bCs/>
          <w:sz w:val="28"/>
          <w:szCs w:val="28"/>
        </w:rPr>
        <w:br/>
        <w:t>антимонопольного законодательства</w:t>
      </w:r>
    </w:p>
    <w:p w:rsidR="006A6DDB" w:rsidRPr="006A6DDB" w:rsidRDefault="006A6DDB" w:rsidP="00286DE4">
      <w:pPr>
        <w:pStyle w:val="1"/>
        <w:tabs>
          <w:tab w:val="left" w:pos="409"/>
        </w:tabs>
        <w:spacing w:line="276" w:lineRule="auto"/>
        <w:ind w:firstLine="0"/>
        <w:rPr>
          <w:sz w:val="28"/>
          <w:szCs w:val="28"/>
        </w:rPr>
      </w:pPr>
    </w:p>
    <w:p w:rsidR="00707C46" w:rsidRPr="006A6DDB" w:rsidRDefault="00B32B1D" w:rsidP="00286DE4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6A6DDB">
        <w:rPr>
          <w:sz w:val="28"/>
          <w:szCs w:val="28"/>
        </w:rPr>
        <w:t>В соответствии с пунктом 3.2 Положения об антимонопольном комплаенсе, в целях выявления рисков нарушения антимонопольного законодательства уполномоченным подразделением совместно с другими подразделениями Министерства в 2024 году осуществлялись следующие мероприятия:</w:t>
      </w:r>
    </w:p>
    <w:p w:rsidR="00707C46" w:rsidRPr="006A6DDB" w:rsidRDefault="00B32B1D" w:rsidP="00286DE4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6A6DDB">
        <w:rPr>
          <w:sz w:val="28"/>
          <w:szCs w:val="28"/>
        </w:rPr>
        <w:t>анализ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дел);</w:t>
      </w:r>
    </w:p>
    <w:p w:rsidR="00707C46" w:rsidRPr="006A6DDB" w:rsidRDefault="00B32B1D" w:rsidP="00286DE4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6A6DDB">
        <w:rPr>
          <w:sz w:val="28"/>
          <w:szCs w:val="28"/>
        </w:rPr>
        <w:t xml:space="preserve">анализ проектов нормативных правовых актов Республики Дагестан, разработанных </w:t>
      </w:r>
      <w:r w:rsidR="00D60E77" w:rsidRPr="006A6DDB">
        <w:rPr>
          <w:sz w:val="28"/>
          <w:szCs w:val="28"/>
        </w:rPr>
        <w:t>Министерством</w:t>
      </w:r>
      <w:r w:rsidRPr="006A6DDB">
        <w:rPr>
          <w:sz w:val="28"/>
          <w:szCs w:val="28"/>
        </w:rPr>
        <w:t xml:space="preserve">, и действующих нормативных правовых актов Республики Дагестан, относящихся к сфере деятельности </w:t>
      </w:r>
      <w:r w:rsidR="00D60E77" w:rsidRPr="006A6DDB">
        <w:rPr>
          <w:sz w:val="28"/>
          <w:szCs w:val="28"/>
        </w:rPr>
        <w:t>Министерства</w:t>
      </w:r>
      <w:r w:rsidRPr="006A6DDB">
        <w:rPr>
          <w:sz w:val="28"/>
          <w:szCs w:val="28"/>
        </w:rPr>
        <w:t xml:space="preserve"> и реализация которых связана с соблюдением требований антимонопольного законодательства (далее соответственно - проекты актов министерства, действующие акты министерства), на предмет с</w:t>
      </w:r>
      <w:r w:rsidR="00D60E77" w:rsidRPr="006A6DDB">
        <w:rPr>
          <w:sz w:val="28"/>
          <w:szCs w:val="28"/>
        </w:rPr>
        <w:t xml:space="preserve">оответствия их антимонопольному </w:t>
      </w:r>
      <w:r w:rsidRPr="006A6DDB">
        <w:rPr>
          <w:sz w:val="28"/>
          <w:szCs w:val="28"/>
        </w:rPr>
        <w:t>законодательству;</w:t>
      </w:r>
    </w:p>
    <w:p w:rsidR="00E94156" w:rsidRPr="006A6DDB" w:rsidRDefault="00E94156" w:rsidP="00286DE4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6A6DDB">
        <w:rPr>
          <w:sz w:val="28"/>
          <w:szCs w:val="28"/>
        </w:rPr>
        <w:t>мониторинг и анализ практики применения антимонопольного законодательства;</w:t>
      </w:r>
    </w:p>
    <w:p w:rsidR="00707C46" w:rsidRPr="006A6DDB" w:rsidRDefault="00B32B1D" w:rsidP="00286DE4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6A6DDB">
        <w:rPr>
          <w:sz w:val="28"/>
          <w:szCs w:val="28"/>
        </w:rPr>
        <w:t>разработка и поддержание в актуальном состоянии методики выявления внутренних и внешних рисков нарушения антимонопольного законодательства в рамках реализации в Минстрое Дагестана антимонопольного комплаенса;</w:t>
      </w:r>
    </w:p>
    <w:p w:rsidR="00707C46" w:rsidRPr="006A6DDB" w:rsidRDefault="00B32B1D" w:rsidP="00286DE4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6A6DDB">
        <w:rPr>
          <w:sz w:val="28"/>
          <w:szCs w:val="28"/>
        </w:rPr>
        <w:t>проведение систематической оценки эффективности разработанных и реализуемых мер контроля;</w:t>
      </w:r>
    </w:p>
    <w:p w:rsidR="00707C46" w:rsidRPr="006A6DDB" w:rsidRDefault="00B32B1D" w:rsidP="00286DE4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6A6DDB">
        <w:rPr>
          <w:sz w:val="28"/>
          <w:szCs w:val="28"/>
        </w:rPr>
        <w:t>проведение постоянного мониторинга для выявления в Минстрое Дагестана остаточных рисков нарушения антимонопольного законодательства.</w:t>
      </w:r>
    </w:p>
    <w:p w:rsidR="00707C46" w:rsidRPr="006A6DDB" w:rsidRDefault="00B32B1D" w:rsidP="00286DE4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6A6DDB">
        <w:rPr>
          <w:sz w:val="28"/>
          <w:szCs w:val="28"/>
        </w:rPr>
        <w:t>По итогам проведенного анализа нормативно-правовых актов, проектов нормативно-правовых актов сделан вывод об их соответствии требованиям антимонопольного законодательства и о нецелесообразности внесения в них изменений.</w:t>
      </w:r>
    </w:p>
    <w:p w:rsidR="00286DE4" w:rsidRPr="00286DE4" w:rsidRDefault="00B32B1D" w:rsidP="00286DE4">
      <w:pPr>
        <w:pStyle w:val="1"/>
        <w:spacing w:line="276" w:lineRule="auto"/>
        <w:ind w:firstLine="560"/>
        <w:jc w:val="both"/>
        <w:rPr>
          <w:sz w:val="28"/>
        </w:rPr>
      </w:pPr>
      <w:r w:rsidRPr="006A6DDB">
        <w:rPr>
          <w:sz w:val="28"/>
          <w:szCs w:val="28"/>
        </w:rPr>
        <w:t xml:space="preserve">В рамках реализации пунктов 3.4.2 и 3.4.3 Положения об антимонопольном комплаенсе уполномоченным подразделением </w:t>
      </w:r>
      <w:r w:rsidR="00286DE4" w:rsidRPr="00286DE4">
        <w:rPr>
          <w:sz w:val="28"/>
        </w:rPr>
        <w:t xml:space="preserve">осуществлялось размещение на официальном сайте проектов нормативных правовых актов Министерства для сбора и проведения оценки замечаний и предложений от организаций и граждан по </w:t>
      </w:r>
      <w:r w:rsidR="00286DE4" w:rsidRPr="00286DE4">
        <w:rPr>
          <w:sz w:val="28"/>
        </w:rPr>
        <w:lastRenderedPageBreak/>
        <w:t>указанным- проектам нормативных правовых актов Министерства.</w:t>
      </w:r>
    </w:p>
    <w:p w:rsidR="00707C46" w:rsidRPr="006A6DDB" w:rsidRDefault="00286DE4" w:rsidP="00286DE4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32B1D" w:rsidRPr="006A6DDB">
        <w:rPr>
          <w:sz w:val="28"/>
          <w:szCs w:val="28"/>
        </w:rPr>
        <w:t>аправление замечаний и предложений по актам, содержащимся в указанном перечне, осуществляется организациями и гражданами в случае, если по мнению заявителя положения такого акта содержат возможные риски нарушения антимонопольного законодательства.</w:t>
      </w:r>
    </w:p>
    <w:p w:rsidR="00707C46" w:rsidRPr="00286DE4" w:rsidRDefault="00286DE4" w:rsidP="00286DE4">
      <w:pPr>
        <w:pStyle w:val="1"/>
        <w:spacing w:line="276" w:lineRule="auto"/>
        <w:ind w:firstLine="740"/>
        <w:jc w:val="both"/>
        <w:rPr>
          <w:sz w:val="28"/>
        </w:rPr>
      </w:pPr>
      <w:r w:rsidRPr="00286DE4">
        <w:rPr>
          <w:sz w:val="28"/>
        </w:rPr>
        <w:t xml:space="preserve">Замечаний и предложений от организаций и граждан по проектам нормативных правовых актов Министерства в 2024 году не поступало в связи с чем, сделан вывод об их </w:t>
      </w:r>
      <w:r w:rsidRPr="00286DE4">
        <w:rPr>
          <w:sz w:val="28"/>
        </w:rPr>
        <w:t>соответствии антимонопольному законо</w:t>
      </w:r>
      <w:r w:rsidRPr="00286DE4">
        <w:rPr>
          <w:sz w:val="28"/>
        </w:rPr>
        <w:t>дательству.</w:t>
      </w:r>
    </w:p>
    <w:p w:rsidR="00B9007D" w:rsidRDefault="00B32B1D" w:rsidP="00B9007D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6A6DDB">
        <w:rPr>
          <w:sz w:val="28"/>
          <w:szCs w:val="28"/>
        </w:rPr>
        <w:t xml:space="preserve">В течение 2024 года структурными подразделениями </w:t>
      </w:r>
      <w:r w:rsidR="00665CF9" w:rsidRPr="006A6DDB">
        <w:rPr>
          <w:sz w:val="28"/>
          <w:szCs w:val="28"/>
        </w:rPr>
        <w:t>Министерства</w:t>
      </w:r>
      <w:r w:rsidRPr="006A6DDB">
        <w:rPr>
          <w:sz w:val="28"/>
          <w:szCs w:val="28"/>
        </w:rPr>
        <w:t xml:space="preserve">, участвующими в согласовании проектов документов, связанных с закупками товаров, работ, услуг для нужд </w:t>
      </w:r>
      <w:r w:rsidR="00665CF9" w:rsidRPr="006A6DDB">
        <w:rPr>
          <w:sz w:val="28"/>
          <w:szCs w:val="28"/>
        </w:rPr>
        <w:t>Министерства</w:t>
      </w:r>
      <w:r w:rsidRPr="006A6DDB">
        <w:rPr>
          <w:sz w:val="28"/>
          <w:szCs w:val="28"/>
        </w:rPr>
        <w:t>, осуществлялся контроль за соблюдением требований антимонопольного законодательства на этапе согласования извещений об осуществлении закупок и проектов государственных контрактов.</w:t>
      </w:r>
    </w:p>
    <w:p w:rsidR="00286DE4" w:rsidRDefault="00286DE4" w:rsidP="00B9007D">
      <w:pPr>
        <w:pStyle w:val="1"/>
        <w:spacing w:line="276" w:lineRule="auto"/>
        <w:ind w:firstLine="560"/>
        <w:jc w:val="both"/>
        <w:rPr>
          <w:sz w:val="28"/>
        </w:rPr>
      </w:pPr>
      <w:r w:rsidRPr="00B9007D">
        <w:rPr>
          <w:sz w:val="28"/>
        </w:rPr>
        <w:t>За 2024 г. конфликтов интересов в деятельности сотрудников Министерства и структурных подразделений Министерства не выявлено. Внутренние расследования, связанные с функционированием антимонопольного комплаенса, не проводились.</w:t>
      </w:r>
    </w:p>
    <w:p w:rsidR="00B9007D" w:rsidRPr="006A6DDB" w:rsidRDefault="00B9007D" w:rsidP="00B9007D">
      <w:pPr>
        <w:pStyle w:val="1"/>
        <w:spacing w:line="276" w:lineRule="auto"/>
        <w:ind w:firstLine="560"/>
        <w:jc w:val="both"/>
        <w:rPr>
          <w:sz w:val="28"/>
          <w:szCs w:val="28"/>
        </w:rPr>
      </w:pPr>
    </w:p>
    <w:p w:rsidR="00707C46" w:rsidRPr="006A6DDB" w:rsidRDefault="00B32B1D" w:rsidP="00286DE4">
      <w:pPr>
        <w:pStyle w:val="1"/>
        <w:numPr>
          <w:ilvl w:val="0"/>
          <w:numId w:val="1"/>
        </w:numPr>
        <w:tabs>
          <w:tab w:val="left" w:pos="673"/>
        </w:tabs>
        <w:spacing w:line="276" w:lineRule="auto"/>
        <w:ind w:firstLine="0"/>
        <w:jc w:val="center"/>
        <w:rPr>
          <w:sz w:val="28"/>
          <w:szCs w:val="28"/>
        </w:rPr>
      </w:pPr>
      <w:r w:rsidRPr="006A6DDB">
        <w:rPr>
          <w:b/>
          <w:bCs/>
          <w:sz w:val="28"/>
          <w:szCs w:val="28"/>
        </w:rPr>
        <w:t xml:space="preserve">Информация об утверждении и исполнении планов </w:t>
      </w:r>
      <w:r w:rsidR="00665CF9" w:rsidRPr="006A6DDB">
        <w:rPr>
          <w:b/>
          <w:bCs/>
          <w:sz w:val="28"/>
          <w:szCs w:val="28"/>
        </w:rPr>
        <w:t>мероприятий (</w:t>
      </w:r>
      <w:r w:rsidRPr="006A6DDB">
        <w:rPr>
          <w:b/>
          <w:bCs/>
          <w:sz w:val="28"/>
          <w:szCs w:val="28"/>
        </w:rPr>
        <w:t>«дорожных карт») по снижению риско</w:t>
      </w:r>
      <w:r w:rsidR="00665CF9" w:rsidRPr="006A6DDB">
        <w:rPr>
          <w:b/>
          <w:bCs/>
          <w:sz w:val="28"/>
          <w:szCs w:val="28"/>
        </w:rPr>
        <w:t>в нарушения антимонопольного законодател</w:t>
      </w:r>
      <w:r w:rsidRPr="006A6DDB">
        <w:rPr>
          <w:b/>
          <w:bCs/>
          <w:sz w:val="28"/>
          <w:szCs w:val="28"/>
        </w:rPr>
        <w:t>ьства</w:t>
      </w:r>
    </w:p>
    <w:p w:rsidR="00665CF9" w:rsidRPr="006A6DDB" w:rsidRDefault="00665CF9" w:rsidP="00286DE4">
      <w:pPr>
        <w:pStyle w:val="1"/>
        <w:tabs>
          <w:tab w:val="left" w:pos="673"/>
        </w:tabs>
        <w:spacing w:line="276" w:lineRule="auto"/>
        <w:ind w:firstLine="0"/>
        <w:rPr>
          <w:sz w:val="28"/>
          <w:szCs w:val="28"/>
        </w:rPr>
      </w:pPr>
    </w:p>
    <w:p w:rsidR="00707C46" w:rsidRPr="006A6DDB" w:rsidRDefault="00B32B1D" w:rsidP="00286DE4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6A6DDB">
        <w:rPr>
          <w:sz w:val="28"/>
          <w:szCs w:val="28"/>
        </w:rPr>
        <w:t>В целях предупреждения и профилактики нарушений антимонопольного законодательства в деятельности Министерства утверждены карта рисков и план мероприятий по снижению рисков нарушения антимонопольного законодательства в деятельности Министерства в 2024 году.</w:t>
      </w:r>
    </w:p>
    <w:p w:rsidR="00707C46" w:rsidRPr="006A6DDB" w:rsidRDefault="00B32B1D" w:rsidP="00286DE4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6A6DDB">
        <w:rPr>
          <w:sz w:val="28"/>
          <w:szCs w:val="28"/>
        </w:rPr>
        <w:t>В соответствии с Планом мероприятий («дорожная карта») по снижению рисков нарушения антимонопольного законодательства в Министерстве на 2024 год, утвержденным приказом Министерства от 29.12.2023 № 84-о/д, структурными подразделениями Министерства на регулярной основе проводился анализ:</w:t>
      </w:r>
    </w:p>
    <w:p w:rsidR="00707C46" w:rsidRPr="006A6DDB" w:rsidRDefault="00B32B1D" w:rsidP="00286DE4">
      <w:pPr>
        <w:pStyle w:val="1"/>
        <w:spacing w:line="276" w:lineRule="auto"/>
        <w:ind w:firstLine="640"/>
        <w:jc w:val="both"/>
        <w:rPr>
          <w:sz w:val="28"/>
          <w:szCs w:val="28"/>
        </w:rPr>
      </w:pPr>
      <w:r w:rsidRPr="006A6DDB">
        <w:rPr>
          <w:sz w:val="28"/>
          <w:szCs w:val="28"/>
        </w:rPr>
        <w:t>проектов нормативно-правовых актов Министерства на предмет их соответствия требованиям антимонопольного законодательства;</w:t>
      </w:r>
    </w:p>
    <w:p w:rsidR="00707C46" w:rsidRPr="006A6DDB" w:rsidRDefault="00B32B1D" w:rsidP="00286DE4">
      <w:pPr>
        <w:pStyle w:val="1"/>
        <w:spacing w:line="276" w:lineRule="auto"/>
        <w:ind w:firstLine="640"/>
        <w:jc w:val="both"/>
        <w:rPr>
          <w:sz w:val="28"/>
          <w:szCs w:val="28"/>
        </w:rPr>
      </w:pPr>
      <w:r w:rsidRPr="006A6DDB">
        <w:rPr>
          <w:sz w:val="28"/>
          <w:szCs w:val="28"/>
        </w:rPr>
        <w:t>нарушения антимонопольного законодательства при подготовке ответов на обращения физических и юридических лиц.</w:t>
      </w:r>
    </w:p>
    <w:p w:rsidR="00B32B1D" w:rsidRPr="00B9007D" w:rsidRDefault="00B9007D" w:rsidP="00B9007D">
      <w:pPr>
        <w:pStyle w:val="1"/>
        <w:spacing w:line="276" w:lineRule="auto"/>
        <w:ind w:firstLine="740"/>
        <w:jc w:val="both"/>
        <w:rPr>
          <w:sz w:val="28"/>
        </w:rPr>
      </w:pPr>
      <w:r w:rsidRPr="00B9007D">
        <w:rPr>
          <w:sz w:val="28"/>
        </w:rPr>
        <w:t xml:space="preserve">Нормативные правовые акты Министерства, в которых антимонопольным органом выявлены нарушения антимонопольного законодательства, за период </w:t>
      </w:r>
      <w:r>
        <w:rPr>
          <w:sz w:val="28"/>
        </w:rPr>
        <w:t xml:space="preserve">            </w:t>
      </w:r>
      <w:r w:rsidRPr="00B9007D">
        <w:rPr>
          <w:sz w:val="28"/>
        </w:rPr>
        <w:t>с 01.01.2024 г. по 31.12.2024 г. отсутствуют.</w:t>
      </w:r>
    </w:p>
    <w:p w:rsidR="00B32B1D" w:rsidRPr="006A6DDB" w:rsidRDefault="00B32B1D" w:rsidP="00286DE4">
      <w:pPr>
        <w:pStyle w:val="1"/>
        <w:spacing w:line="276" w:lineRule="auto"/>
        <w:ind w:firstLine="640"/>
        <w:jc w:val="both"/>
        <w:rPr>
          <w:sz w:val="28"/>
          <w:szCs w:val="28"/>
        </w:rPr>
      </w:pPr>
      <w:r w:rsidRPr="006A6DDB">
        <w:rPr>
          <w:sz w:val="28"/>
          <w:szCs w:val="28"/>
        </w:rPr>
        <w:t xml:space="preserve">Структурными подразделениями Министерства также на регулярной основе </w:t>
      </w:r>
      <w:r w:rsidRPr="006A6DDB">
        <w:rPr>
          <w:sz w:val="28"/>
          <w:szCs w:val="28"/>
        </w:rPr>
        <w:lastRenderedPageBreak/>
        <w:t>выполнялись предусмотренные планом мероприятия по снижению рисков нарушения антимонопольного законодательства в 2024 году.</w:t>
      </w:r>
    </w:p>
    <w:p w:rsidR="00B32B1D" w:rsidRPr="006A6DDB" w:rsidRDefault="00B32B1D" w:rsidP="00286DE4">
      <w:pPr>
        <w:pStyle w:val="1"/>
        <w:spacing w:line="276" w:lineRule="auto"/>
        <w:ind w:firstLine="0"/>
        <w:jc w:val="both"/>
        <w:rPr>
          <w:sz w:val="28"/>
          <w:szCs w:val="28"/>
        </w:rPr>
      </w:pPr>
    </w:p>
    <w:p w:rsidR="00707C46" w:rsidRDefault="00B32B1D" w:rsidP="00B9007D">
      <w:pPr>
        <w:pStyle w:val="1"/>
        <w:spacing w:line="276" w:lineRule="auto"/>
        <w:ind w:firstLine="640"/>
        <w:jc w:val="center"/>
        <w:rPr>
          <w:b/>
          <w:bCs/>
          <w:sz w:val="28"/>
          <w:szCs w:val="28"/>
        </w:rPr>
      </w:pPr>
      <w:r w:rsidRPr="006A6DDB">
        <w:rPr>
          <w:b/>
          <w:sz w:val="28"/>
          <w:szCs w:val="28"/>
          <w:lang w:val="en-US"/>
        </w:rPr>
        <w:t>IV</w:t>
      </w:r>
      <w:r w:rsidRPr="006A6DDB">
        <w:rPr>
          <w:b/>
          <w:sz w:val="28"/>
          <w:szCs w:val="28"/>
        </w:rPr>
        <w:t>.</w:t>
      </w:r>
      <w:r w:rsidRPr="006A6DDB">
        <w:rPr>
          <w:sz w:val="28"/>
          <w:szCs w:val="28"/>
        </w:rPr>
        <w:t xml:space="preserve"> </w:t>
      </w:r>
      <w:r w:rsidRPr="006A6DDB">
        <w:rPr>
          <w:b/>
          <w:bCs/>
          <w:sz w:val="28"/>
          <w:szCs w:val="28"/>
        </w:rPr>
        <w:t>Информация о проведении ознакомления государственных гражданских служащих с антимонопольным комплаенсом, а также о проведении обучающих мероприятий</w:t>
      </w:r>
    </w:p>
    <w:p w:rsidR="00B9007D" w:rsidRPr="006A6DDB" w:rsidRDefault="00B9007D" w:rsidP="00B9007D">
      <w:pPr>
        <w:pStyle w:val="1"/>
        <w:spacing w:line="276" w:lineRule="auto"/>
        <w:ind w:firstLine="640"/>
        <w:jc w:val="center"/>
        <w:rPr>
          <w:sz w:val="28"/>
          <w:szCs w:val="28"/>
        </w:rPr>
      </w:pPr>
    </w:p>
    <w:p w:rsidR="00707C46" w:rsidRPr="006A6DDB" w:rsidRDefault="00B32B1D" w:rsidP="00286DE4">
      <w:pPr>
        <w:pStyle w:val="1"/>
        <w:spacing w:line="276" w:lineRule="auto"/>
        <w:ind w:firstLine="580"/>
        <w:jc w:val="both"/>
        <w:rPr>
          <w:sz w:val="28"/>
          <w:szCs w:val="28"/>
        </w:rPr>
      </w:pPr>
      <w:r w:rsidRPr="006A6DDB">
        <w:rPr>
          <w:sz w:val="28"/>
          <w:szCs w:val="28"/>
        </w:rPr>
        <w:t>В соответствии с пунктом 5.1 Положения об антимонопольном комлаенсе Министерство организует систематическое обучение своих государственных гражданских служащих и работников требованиям антимонопольного законодательства и антимонопольного комплаенса в следующих формах:</w:t>
      </w:r>
    </w:p>
    <w:p w:rsidR="00707C46" w:rsidRPr="006A6DDB" w:rsidRDefault="00B32B1D" w:rsidP="00286DE4">
      <w:pPr>
        <w:pStyle w:val="1"/>
        <w:spacing w:line="276" w:lineRule="auto"/>
        <w:ind w:firstLine="580"/>
        <w:jc w:val="both"/>
        <w:rPr>
          <w:sz w:val="28"/>
          <w:szCs w:val="28"/>
        </w:rPr>
      </w:pPr>
      <w:r w:rsidRPr="006A6DDB">
        <w:rPr>
          <w:sz w:val="28"/>
          <w:szCs w:val="28"/>
        </w:rPr>
        <w:t>вводный (первичный) инструктаж;</w:t>
      </w:r>
    </w:p>
    <w:p w:rsidR="00707C46" w:rsidRPr="006A6DDB" w:rsidRDefault="00B32B1D" w:rsidP="00286DE4">
      <w:pPr>
        <w:pStyle w:val="1"/>
        <w:spacing w:line="276" w:lineRule="auto"/>
        <w:ind w:firstLine="580"/>
        <w:jc w:val="both"/>
        <w:rPr>
          <w:sz w:val="28"/>
          <w:szCs w:val="28"/>
        </w:rPr>
      </w:pPr>
      <w:r w:rsidRPr="006A6DDB">
        <w:rPr>
          <w:sz w:val="28"/>
          <w:szCs w:val="28"/>
        </w:rPr>
        <w:t>целевой (внеплановый) инструктаж;</w:t>
      </w:r>
    </w:p>
    <w:p w:rsidR="00707C46" w:rsidRPr="006A6DDB" w:rsidRDefault="00B32B1D" w:rsidP="00286DE4">
      <w:pPr>
        <w:pStyle w:val="1"/>
        <w:spacing w:line="276" w:lineRule="auto"/>
        <w:ind w:firstLine="580"/>
        <w:jc w:val="both"/>
        <w:rPr>
          <w:sz w:val="28"/>
          <w:szCs w:val="28"/>
        </w:rPr>
      </w:pPr>
      <w:r w:rsidRPr="006A6DDB">
        <w:rPr>
          <w:sz w:val="28"/>
          <w:szCs w:val="28"/>
        </w:rPr>
        <w:t>повышение квалификации;</w:t>
      </w:r>
    </w:p>
    <w:p w:rsidR="00707C46" w:rsidRPr="006A6DDB" w:rsidRDefault="00B32B1D" w:rsidP="00286DE4">
      <w:pPr>
        <w:pStyle w:val="1"/>
        <w:spacing w:line="276" w:lineRule="auto"/>
        <w:ind w:firstLine="580"/>
        <w:jc w:val="both"/>
        <w:rPr>
          <w:sz w:val="28"/>
          <w:szCs w:val="28"/>
        </w:rPr>
      </w:pPr>
      <w:r w:rsidRPr="006A6DDB">
        <w:rPr>
          <w:sz w:val="28"/>
          <w:szCs w:val="28"/>
        </w:rPr>
        <w:t>плановая аттестация.</w:t>
      </w:r>
    </w:p>
    <w:p w:rsidR="00707C46" w:rsidRPr="006A6DDB" w:rsidRDefault="00B32B1D" w:rsidP="00286DE4">
      <w:pPr>
        <w:pStyle w:val="1"/>
        <w:spacing w:line="276" w:lineRule="auto"/>
        <w:ind w:firstLine="580"/>
        <w:jc w:val="both"/>
        <w:rPr>
          <w:sz w:val="28"/>
          <w:szCs w:val="28"/>
        </w:rPr>
      </w:pPr>
      <w:r w:rsidRPr="006A6DDB">
        <w:rPr>
          <w:sz w:val="28"/>
          <w:szCs w:val="28"/>
        </w:rPr>
        <w:t>На основании пункта 5.2. Положения об антимонопольном комлаенсе уполномоченным подразделением совместно с отделом государственной службы и кадров Министерства осуществлялся вводный (первичный) инструктаж и ознакомление с основами антимонопольного законодательства и Положением об антимонопольном комлаенсе при поступлении (приеме) граждан на государственную гражданскую службу в Минстрой Дагестана.</w:t>
      </w:r>
    </w:p>
    <w:p w:rsidR="00707C46" w:rsidRPr="006A6DDB" w:rsidRDefault="00B32B1D" w:rsidP="00286DE4">
      <w:pPr>
        <w:pStyle w:val="1"/>
        <w:spacing w:line="276" w:lineRule="auto"/>
        <w:ind w:firstLine="580"/>
        <w:jc w:val="both"/>
        <w:rPr>
          <w:sz w:val="28"/>
          <w:szCs w:val="28"/>
        </w:rPr>
      </w:pPr>
      <w:r w:rsidRPr="006A6DDB">
        <w:rPr>
          <w:sz w:val="28"/>
          <w:szCs w:val="28"/>
        </w:rPr>
        <w:t>Уполномоченным подразделением также осуществлялось консультирование государственных гражданских служащих Министерства по вопросам, связанным с соблюдением антимонопольного законодательства, а также взаимодействие с антимонопольным органом по вопросам антимонопольного комплаенса.</w:t>
      </w:r>
    </w:p>
    <w:p w:rsidR="00707C46" w:rsidRPr="006A6DDB" w:rsidRDefault="00B32B1D" w:rsidP="00286DE4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6A6DDB">
        <w:rPr>
          <w:sz w:val="28"/>
          <w:szCs w:val="28"/>
        </w:rPr>
        <w:t>В целях повышения уровня информированности и знаний, связанных с обеспечением соблюдения в Министерстве антимонопольного законодательства, и предупреждения его нарушения государственными гражданскими служащими, участвующим в обеспечении функционирования антимонопольного комплаенса, для ознакомления доведены материалы о базовых основах антимонопольного комплаенса, а также подборка решений антимонопольного и судебных органов по вопросам ограничения конкуренции в актах и действиях (бездействии) федеральных органов исполнительной власти, и при осуществлении государственных закупок.</w:t>
      </w:r>
    </w:p>
    <w:p w:rsidR="00707C46" w:rsidRPr="006A6DDB" w:rsidRDefault="00B32B1D" w:rsidP="00286DE4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6A6DDB">
        <w:rPr>
          <w:sz w:val="28"/>
          <w:szCs w:val="28"/>
        </w:rPr>
        <w:t>Аттестации государственных гражданских служащих, в том числе по вопросам антимонопольного комплаенса в Министерстве в 2024 году не проводились.</w:t>
      </w:r>
    </w:p>
    <w:p w:rsidR="00B32B1D" w:rsidRDefault="00B32B1D" w:rsidP="00286DE4">
      <w:pPr>
        <w:pStyle w:val="1"/>
        <w:spacing w:line="276" w:lineRule="auto"/>
        <w:ind w:firstLine="560"/>
        <w:jc w:val="both"/>
        <w:rPr>
          <w:sz w:val="28"/>
          <w:szCs w:val="28"/>
        </w:rPr>
      </w:pPr>
    </w:p>
    <w:p w:rsidR="00B9007D" w:rsidRDefault="00B9007D" w:rsidP="00286DE4">
      <w:pPr>
        <w:pStyle w:val="1"/>
        <w:spacing w:line="276" w:lineRule="auto"/>
        <w:ind w:firstLine="560"/>
        <w:jc w:val="both"/>
        <w:rPr>
          <w:sz w:val="28"/>
          <w:szCs w:val="28"/>
        </w:rPr>
      </w:pPr>
    </w:p>
    <w:p w:rsidR="00B9007D" w:rsidRPr="006A6DDB" w:rsidRDefault="00B9007D" w:rsidP="00286DE4">
      <w:pPr>
        <w:pStyle w:val="1"/>
        <w:spacing w:line="276" w:lineRule="auto"/>
        <w:ind w:firstLine="560"/>
        <w:jc w:val="both"/>
        <w:rPr>
          <w:sz w:val="28"/>
          <w:szCs w:val="28"/>
        </w:rPr>
      </w:pPr>
    </w:p>
    <w:p w:rsidR="00707C46" w:rsidRPr="006A6DDB" w:rsidRDefault="00B32B1D" w:rsidP="00286DE4">
      <w:pPr>
        <w:pStyle w:val="1"/>
        <w:numPr>
          <w:ilvl w:val="0"/>
          <w:numId w:val="1"/>
        </w:numPr>
        <w:tabs>
          <w:tab w:val="left" w:pos="1190"/>
        </w:tabs>
        <w:spacing w:line="276" w:lineRule="auto"/>
        <w:ind w:left="1300" w:hanging="500"/>
        <w:jc w:val="both"/>
        <w:rPr>
          <w:sz w:val="28"/>
          <w:szCs w:val="28"/>
        </w:rPr>
      </w:pPr>
      <w:r w:rsidRPr="006A6DDB">
        <w:rPr>
          <w:b/>
          <w:bCs/>
          <w:sz w:val="28"/>
          <w:szCs w:val="28"/>
        </w:rPr>
        <w:lastRenderedPageBreak/>
        <w:t>Информация о достижении ключевых показателей эффективности реализации мероприятий антимонопольного комплаенса</w:t>
      </w:r>
    </w:p>
    <w:p w:rsidR="00B32B1D" w:rsidRPr="006A6DDB" w:rsidRDefault="00B32B1D" w:rsidP="00286DE4">
      <w:pPr>
        <w:pStyle w:val="1"/>
        <w:spacing w:line="276" w:lineRule="auto"/>
        <w:ind w:firstLine="0"/>
        <w:jc w:val="both"/>
        <w:rPr>
          <w:sz w:val="28"/>
          <w:szCs w:val="28"/>
        </w:rPr>
      </w:pPr>
    </w:p>
    <w:p w:rsidR="00286DE4" w:rsidRPr="006A6DDB" w:rsidRDefault="00286DE4" w:rsidP="00286DE4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6A6DDB">
        <w:rPr>
          <w:sz w:val="28"/>
          <w:szCs w:val="28"/>
        </w:rPr>
        <w:t xml:space="preserve">В целях оценки эффективности функционирования в Министерстве антимонопольного комплаенса установлены ключевые показатели эффективности, на основании которых уполномоченное подразделение проводит оценку достижения ключевых показателей эффективности антимонопольного комплаенса в Министерстве </w:t>
      </w:r>
      <w:r w:rsidRPr="006A6DDB">
        <w:rPr>
          <w:i/>
          <w:iCs/>
          <w:sz w:val="28"/>
          <w:szCs w:val="28"/>
        </w:rPr>
        <w:t>(результаты оценки показателей за 2024 год представлены в таблице ниже).</w:t>
      </w:r>
    </w:p>
    <w:p w:rsidR="00286DE4" w:rsidRPr="006A6DDB" w:rsidRDefault="00286DE4" w:rsidP="00286DE4">
      <w:pPr>
        <w:pStyle w:val="1"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2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6518"/>
        <w:gridCol w:w="2121"/>
      </w:tblGrid>
      <w:tr w:rsidR="00286DE4" w:rsidRPr="006A6DDB" w:rsidTr="00B9007D">
        <w:trPr>
          <w:trHeight w:hRule="exact" w:val="113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6DE4" w:rsidRPr="006A6DDB" w:rsidRDefault="00286DE4" w:rsidP="00286DE4">
            <w:pPr>
              <w:pStyle w:val="a9"/>
              <w:spacing w:line="276" w:lineRule="auto"/>
              <w:ind w:firstLine="0"/>
              <w:rPr>
                <w:sz w:val="28"/>
                <w:szCs w:val="28"/>
              </w:rPr>
            </w:pPr>
            <w:r w:rsidRPr="006A6DDB">
              <w:rPr>
                <w:sz w:val="28"/>
                <w:szCs w:val="28"/>
              </w:rPr>
              <w:t>№ п/п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6DE4" w:rsidRPr="006A6DDB" w:rsidRDefault="00286DE4" w:rsidP="00B9007D">
            <w:pPr>
              <w:pStyle w:val="a9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6A6DDB">
              <w:rPr>
                <w:sz w:val="28"/>
                <w:szCs w:val="28"/>
              </w:rPr>
              <w:t>Наименование ключевого показателя эффективности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DE4" w:rsidRPr="006A6DDB" w:rsidRDefault="00B9007D" w:rsidP="00B9007D">
            <w:pPr>
              <w:pStyle w:val="a9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B9007D">
              <w:rPr>
                <w:sz w:val="28"/>
                <w:szCs w:val="28"/>
              </w:rPr>
              <w:t xml:space="preserve">Значение </w:t>
            </w:r>
            <w:r w:rsidR="00286DE4" w:rsidRPr="00B9007D">
              <w:rPr>
                <w:sz w:val="28"/>
                <w:szCs w:val="28"/>
              </w:rPr>
              <w:t>показателя в баллах</w:t>
            </w:r>
          </w:p>
        </w:tc>
      </w:tr>
      <w:tr w:rsidR="00286DE4" w:rsidRPr="006A6DDB" w:rsidTr="00B9007D">
        <w:trPr>
          <w:trHeight w:hRule="exact"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DE4" w:rsidRPr="006A6DDB" w:rsidRDefault="00286DE4" w:rsidP="00286DE4">
            <w:pPr>
              <w:pStyle w:val="a9"/>
              <w:spacing w:line="276" w:lineRule="auto"/>
              <w:ind w:firstLine="709"/>
              <w:rPr>
                <w:sz w:val="28"/>
                <w:szCs w:val="28"/>
              </w:rPr>
            </w:pPr>
            <w:r w:rsidRPr="006A6DDB">
              <w:rPr>
                <w:sz w:val="28"/>
                <w:szCs w:val="28"/>
              </w:rPr>
              <w:t>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DE4" w:rsidRPr="006A6DDB" w:rsidRDefault="00286DE4" w:rsidP="00286DE4">
            <w:pPr>
              <w:pStyle w:val="a9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6A6DDB">
              <w:rPr>
                <w:sz w:val="28"/>
                <w:szCs w:val="28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DE4" w:rsidRPr="006A6DDB" w:rsidRDefault="00286DE4" w:rsidP="00286DE4">
            <w:pPr>
              <w:pStyle w:val="a9"/>
              <w:spacing w:line="276" w:lineRule="auto"/>
              <w:ind w:firstLine="709"/>
              <w:rPr>
                <w:sz w:val="28"/>
                <w:szCs w:val="28"/>
              </w:rPr>
            </w:pPr>
            <w:r w:rsidRPr="006A6DDB">
              <w:rPr>
                <w:sz w:val="28"/>
                <w:szCs w:val="28"/>
              </w:rPr>
              <w:t>3</w:t>
            </w:r>
          </w:p>
        </w:tc>
      </w:tr>
      <w:tr w:rsidR="00286DE4" w:rsidRPr="006A6DDB" w:rsidTr="00B9007D">
        <w:trPr>
          <w:trHeight w:hRule="exact" w:val="114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6DE4" w:rsidRPr="006A6DDB" w:rsidRDefault="00286DE4" w:rsidP="00286DE4">
            <w:pPr>
              <w:pStyle w:val="a9"/>
              <w:spacing w:line="276" w:lineRule="auto"/>
              <w:ind w:firstLine="709"/>
              <w:rPr>
                <w:sz w:val="28"/>
                <w:szCs w:val="28"/>
              </w:rPr>
            </w:pPr>
            <w:r w:rsidRPr="006A6DDB">
              <w:rPr>
                <w:sz w:val="28"/>
                <w:szCs w:val="28"/>
              </w:rPr>
              <w:t>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DE4" w:rsidRPr="006A6DDB" w:rsidRDefault="00286DE4" w:rsidP="00286DE4">
            <w:pPr>
              <w:pStyle w:val="a9"/>
              <w:spacing w:line="276" w:lineRule="auto"/>
              <w:ind w:firstLine="0"/>
              <w:rPr>
                <w:sz w:val="28"/>
                <w:szCs w:val="28"/>
              </w:rPr>
            </w:pPr>
            <w:r w:rsidRPr="006A6DDB">
              <w:rPr>
                <w:sz w:val="28"/>
                <w:szCs w:val="28"/>
              </w:rPr>
              <w:t>Доля проектов нормативных правовых актов Министерства, в которых выявлены риски нарушения антимонопольного законодательства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DE4" w:rsidRDefault="00286DE4" w:rsidP="00286DE4">
            <w:pPr>
              <w:pStyle w:val="a9"/>
              <w:spacing w:line="276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286DE4" w:rsidRPr="006A6DDB" w:rsidRDefault="00286DE4" w:rsidP="00286DE4">
            <w:pPr>
              <w:pStyle w:val="a9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6A6DDB">
              <w:rPr>
                <w:sz w:val="28"/>
                <w:szCs w:val="28"/>
              </w:rPr>
              <w:t>(нарушений не выявлено)</w:t>
            </w:r>
          </w:p>
        </w:tc>
      </w:tr>
      <w:tr w:rsidR="00286DE4" w:rsidRPr="006A6DDB" w:rsidTr="00B9007D">
        <w:trPr>
          <w:trHeight w:hRule="exact" w:val="170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6DE4" w:rsidRPr="006A6DDB" w:rsidRDefault="00286DE4" w:rsidP="00286DE4">
            <w:pPr>
              <w:pStyle w:val="a9"/>
              <w:spacing w:line="276" w:lineRule="auto"/>
              <w:ind w:firstLine="709"/>
              <w:rPr>
                <w:sz w:val="28"/>
                <w:szCs w:val="28"/>
              </w:rPr>
            </w:pPr>
            <w:r w:rsidRPr="006A6DDB">
              <w:rPr>
                <w:sz w:val="28"/>
                <w:szCs w:val="28"/>
              </w:rPr>
              <w:t>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DE4" w:rsidRPr="006A6DDB" w:rsidRDefault="00286DE4" w:rsidP="00286DE4">
            <w:pPr>
              <w:pStyle w:val="a9"/>
              <w:spacing w:line="276" w:lineRule="auto"/>
              <w:ind w:firstLine="0"/>
              <w:rPr>
                <w:sz w:val="28"/>
                <w:szCs w:val="28"/>
              </w:rPr>
            </w:pPr>
            <w:r w:rsidRPr="006A6DDB">
              <w:rPr>
                <w:sz w:val="28"/>
                <w:szCs w:val="28"/>
              </w:rPr>
              <w:t>Жалобы на решения, действия (бездействие) Министерства или его должностных лиц и ведущие к ограничению конкуренции, поданные в УФАС по РД, в случае принятия решения об удовлетворении указанных жалоб в установленном законодательством порядке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DE4" w:rsidRDefault="00286DE4" w:rsidP="00286DE4">
            <w:pPr>
              <w:pStyle w:val="a9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6A6DDB">
              <w:rPr>
                <w:sz w:val="28"/>
                <w:szCs w:val="28"/>
              </w:rPr>
              <w:t xml:space="preserve">20 </w:t>
            </w:r>
          </w:p>
          <w:p w:rsidR="00286DE4" w:rsidRPr="006A6DDB" w:rsidRDefault="00286DE4" w:rsidP="00286DE4">
            <w:pPr>
              <w:pStyle w:val="a9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6A6DDB">
              <w:rPr>
                <w:sz w:val="28"/>
                <w:szCs w:val="28"/>
              </w:rPr>
              <w:t>(жалоб не  поступало)</w:t>
            </w:r>
          </w:p>
        </w:tc>
      </w:tr>
      <w:tr w:rsidR="00286DE4" w:rsidRPr="006A6DDB" w:rsidTr="00B9007D">
        <w:trPr>
          <w:trHeight w:hRule="exact" w:val="68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6DE4" w:rsidRPr="006A6DDB" w:rsidRDefault="00286DE4" w:rsidP="00286DE4">
            <w:pPr>
              <w:pStyle w:val="a9"/>
              <w:spacing w:line="276" w:lineRule="auto"/>
              <w:ind w:firstLine="709"/>
              <w:rPr>
                <w:sz w:val="28"/>
                <w:szCs w:val="28"/>
              </w:rPr>
            </w:pPr>
            <w:r w:rsidRPr="006A6DDB">
              <w:rPr>
                <w:sz w:val="28"/>
                <w:szCs w:val="28"/>
              </w:rPr>
              <w:t>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DE4" w:rsidRPr="006A6DDB" w:rsidRDefault="00286DE4" w:rsidP="00286DE4">
            <w:pPr>
              <w:pStyle w:val="a9"/>
              <w:spacing w:line="276" w:lineRule="auto"/>
              <w:ind w:firstLine="0"/>
              <w:rPr>
                <w:sz w:val="28"/>
                <w:szCs w:val="28"/>
              </w:rPr>
            </w:pPr>
            <w:r w:rsidRPr="006A6DDB">
              <w:rPr>
                <w:sz w:val="28"/>
                <w:szCs w:val="28"/>
              </w:rPr>
              <w:t>Доля нарушений антимонопольного законодательства со стороны Министерства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DE4" w:rsidRPr="006A6DDB" w:rsidRDefault="00286DE4" w:rsidP="00286DE4">
            <w:pPr>
              <w:pStyle w:val="a9"/>
              <w:spacing w:line="276" w:lineRule="auto"/>
              <w:ind w:firstLine="709"/>
              <w:rPr>
                <w:sz w:val="28"/>
                <w:szCs w:val="28"/>
              </w:rPr>
            </w:pPr>
            <w:r w:rsidRPr="006A6DDB">
              <w:rPr>
                <w:sz w:val="28"/>
                <w:szCs w:val="28"/>
              </w:rPr>
              <w:t>15</w:t>
            </w:r>
          </w:p>
        </w:tc>
      </w:tr>
      <w:tr w:rsidR="00286DE4" w:rsidRPr="006A6DDB" w:rsidTr="00B9007D">
        <w:trPr>
          <w:trHeight w:hRule="exact" w:val="11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6DE4" w:rsidRPr="006A6DDB" w:rsidRDefault="00286DE4" w:rsidP="00286DE4">
            <w:pPr>
              <w:pStyle w:val="a9"/>
              <w:spacing w:line="276" w:lineRule="auto"/>
              <w:ind w:firstLine="709"/>
              <w:rPr>
                <w:sz w:val="28"/>
                <w:szCs w:val="28"/>
              </w:rPr>
            </w:pPr>
            <w:r w:rsidRPr="006A6DDB">
              <w:rPr>
                <w:sz w:val="28"/>
                <w:szCs w:val="28"/>
              </w:rPr>
              <w:t>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6DE4" w:rsidRPr="006A6DDB" w:rsidRDefault="00286DE4" w:rsidP="00286DE4">
            <w:pPr>
              <w:pStyle w:val="a9"/>
              <w:spacing w:line="276" w:lineRule="auto"/>
              <w:ind w:firstLine="0"/>
              <w:rPr>
                <w:sz w:val="28"/>
                <w:szCs w:val="28"/>
              </w:rPr>
            </w:pPr>
            <w:r w:rsidRPr="006A6DDB">
              <w:rPr>
                <w:sz w:val="28"/>
                <w:szCs w:val="28"/>
              </w:rPr>
              <w:t>Доля сотрудников Министерства, в отношении которых проведены обучающие мероприятия по антимонопольному законодательству и антимонопольному комплаенсу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DE4" w:rsidRDefault="00286DE4" w:rsidP="00286DE4">
            <w:pPr>
              <w:pStyle w:val="a9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6A6DDB">
              <w:rPr>
                <w:sz w:val="28"/>
                <w:szCs w:val="28"/>
              </w:rPr>
              <w:t xml:space="preserve">10 </w:t>
            </w:r>
          </w:p>
          <w:p w:rsidR="00286DE4" w:rsidRPr="006A6DDB" w:rsidRDefault="00286DE4" w:rsidP="00286DE4">
            <w:pPr>
              <w:pStyle w:val="a9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6A6DDB">
              <w:rPr>
                <w:sz w:val="28"/>
                <w:szCs w:val="28"/>
              </w:rPr>
              <w:t>(1 сотрудник)</w:t>
            </w:r>
          </w:p>
        </w:tc>
      </w:tr>
      <w:tr w:rsidR="00286DE4" w:rsidRPr="006A6DDB" w:rsidTr="00B9007D">
        <w:trPr>
          <w:trHeight w:hRule="exact" w:val="85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6DE4" w:rsidRPr="006A6DDB" w:rsidRDefault="00286DE4" w:rsidP="00286DE4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A6D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DE4" w:rsidRPr="006A6DDB" w:rsidRDefault="00286DE4" w:rsidP="00286DE4">
            <w:pPr>
              <w:pStyle w:val="a9"/>
              <w:spacing w:line="276" w:lineRule="auto"/>
              <w:ind w:firstLine="0"/>
              <w:rPr>
                <w:sz w:val="28"/>
                <w:szCs w:val="28"/>
              </w:rPr>
            </w:pPr>
            <w:r w:rsidRPr="006A6DDB">
              <w:rPr>
                <w:sz w:val="28"/>
                <w:szCs w:val="28"/>
              </w:rPr>
              <w:t>Выполнение плана мероприятий по снижению рисков нарушения антимонопольного законодательства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E4" w:rsidRPr="006A6DDB" w:rsidRDefault="00286DE4" w:rsidP="00286DE4">
            <w:pPr>
              <w:pStyle w:val="a9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6A6DDB">
              <w:rPr>
                <w:sz w:val="28"/>
                <w:szCs w:val="28"/>
              </w:rPr>
              <w:t>15</w:t>
            </w:r>
          </w:p>
        </w:tc>
      </w:tr>
      <w:tr w:rsidR="00286DE4" w:rsidRPr="006A6DDB" w:rsidTr="00B9007D">
        <w:trPr>
          <w:trHeight w:hRule="exact" w:val="43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6DE4" w:rsidRPr="006A6DDB" w:rsidRDefault="00286DE4" w:rsidP="00286DE4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DE4" w:rsidRPr="006A6DDB" w:rsidRDefault="00286DE4" w:rsidP="00286DE4">
            <w:pPr>
              <w:pStyle w:val="a9"/>
              <w:spacing w:line="276" w:lineRule="auto"/>
              <w:ind w:firstLine="709"/>
              <w:rPr>
                <w:sz w:val="28"/>
                <w:szCs w:val="28"/>
              </w:rPr>
            </w:pPr>
            <w:r w:rsidRPr="006A6DDB">
              <w:rPr>
                <w:sz w:val="28"/>
                <w:szCs w:val="28"/>
              </w:rPr>
              <w:t xml:space="preserve">                                                                                   Итого: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E4" w:rsidRPr="006A6DDB" w:rsidRDefault="00286DE4" w:rsidP="00286DE4">
            <w:pPr>
              <w:pStyle w:val="a9"/>
              <w:spacing w:line="276" w:lineRule="auto"/>
              <w:ind w:firstLine="709"/>
              <w:rPr>
                <w:sz w:val="28"/>
                <w:szCs w:val="28"/>
              </w:rPr>
            </w:pPr>
            <w:r w:rsidRPr="006A6DDB">
              <w:rPr>
                <w:sz w:val="28"/>
                <w:szCs w:val="28"/>
              </w:rPr>
              <w:t xml:space="preserve">   90</w:t>
            </w:r>
          </w:p>
        </w:tc>
      </w:tr>
    </w:tbl>
    <w:p w:rsidR="00286DE4" w:rsidRPr="006A6DDB" w:rsidRDefault="00286DE4" w:rsidP="00286DE4">
      <w:pPr>
        <w:pStyle w:val="1"/>
        <w:spacing w:line="276" w:lineRule="auto"/>
        <w:ind w:firstLine="709"/>
        <w:jc w:val="both"/>
        <w:rPr>
          <w:sz w:val="28"/>
          <w:szCs w:val="28"/>
        </w:rPr>
      </w:pPr>
    </w:p>
    <w:p w:rsidR="00286DE4" w:rsidRDefault="00286DE4" w:rsidP="00286DE4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6A6DDB">
        <w:rPr>
          <w:sz w:val="28"/>
          <w:szCs w:val="28"/>
        </w:rPr>
        <w:t>Расчёт проведен в соответствии с методикой расчёта ключевых показателей эффективности функционирования Министерства по делам молодежи Республики Дагестан, утвержденной приказам Министерства от 29 декабря 2023 года № 84-о/д «Об утверждении карты комплаенс-рисков нарушения антимонопольного законодательства, плана мероприятий по снижению рисков нарушения антимонопольного законодательства и ключевых показателей оценки эффективности функционирования антимонопольного комплаенса в министерстве по делам молодежи Республики Дагестан» на 2024 год.</w:t>
      </w:r>
    </w:p>
    <w:p w:rsidR="00286DE4" w:rsidRPr="006A6DDB" w:rsidRDefault="00286DE4" w:rsidP="00286DE4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6A6DDB">
        <w:rPr>
          <w:sz w:val="28"/>
          <w:szCs w:val="28"/>
        </w:rPr>
        <w:lastRenderedPageBreak/>
        <w:t xml:space="preserve">Проведенный анализ выявленных нарушений антимонопольного законодательства, а также оценка достижения ключевых показателей эффективности реализации мероприятий антимонопольного комплаенса в Минстрое Дагестана за 2024 год, свидетельствуют об эффективности организации антимонопольного комплаенса в Министерстве в отчетном периоде. </w:t>
      </w:r>
    </w:p>
    <w:p w:rsidR="00286DE4" w:rsidRPr="006A6DDB" w:rsidRDefault="00286DE4" w:rsidP="00286DE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DB">
        <w:rPr>
          <w:rFonts w:ascii="Times New Roman" w:hAnsi="Times New Roman" w:cs="Times New Roman"/>
          <w:sz w:val="28"/>
          <w:szCs w:val="28"/>
        </w:rPr>
        <w:t>Приказом министерства по делам молодежи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DDB">
        <w:rPr>
          <w:rFonts w:ascii="Times New Roman" w:hAnsi="Times New Roman" w:cs="Times New Roman"/>
          <w:sz w:val="28"/>
          <w:szCs w:val="28"/>
        </w:rPr>
        <w:t>Дагестан от 24.01.2025 № 10-о/д «Об утверждении карты комплаенс-рисков нарушения антимонопольного законодательства, плана мероприятий по снижению рисков нарушения антимонопольного законодательства и ключевых показателей оценки эффективности функционирования антимонопольного комплаенса в министерстве по делам молодежи Республики Дагестан» разработаны и утверждены карта комплаенс-рисков и план мероприятий по снижению рисков нарушения антимонопольного законодательства на 2025 год.</w:t>
      </w:r>
    </w:p>
    <w:p w:rsidR="00286DE4" w:rsidRPr="006A6DDB" w:rsidRDefault="00286DE4" w:rsidP="00B32B1D">
      <w:pPr>
        <w:pStyle w:val="1"/>
        <w:spacing w:line="326" w:lineRule="auto"/>
        <w:ind w:firstLine="560"/>
        <w:jc w:val="both"/>
        <w:rPr>
          <w:sz w:val="28"/>
          <w:szCs w:val="28"/>
        </w:rPr>
      </w:pPr>
    </w:p>
    <w:p w:rsidR="00B32B1D" w:rsidRPr="006A6DDB" w:rsidRDefault="00B32B1D" w:rsidP="00B32B1D">
      <w:pPr>
        <w:pStyle w:val="1"/>
        <w:spacing w:after="380" w:line="329" w:lineRule="auto"/>
        <w:ind w:firstLine="0"/>
        <w:rPr>
          <w:b/>
          <w:bCs/>
          <w:sz w:val="28"/>
          <w:szCs w:val="28"/>
        </w:rPr>
      </w:pPr>
    </w:p>
    <w:p w:rsidR="00707C46" w:rsidRPr="006A6DDB" w:rsidRDefault="00B32B1D" w:rsidP="00B32B1D">
      <w:pPr>
        <w:pStyle w:val="1"/>
        <w:spacing w:after="380" w:line="329" w:lineRule="auto"/>
        <w:ind w:firstLine="0"/>
        <w:rPr>
          <w:sz w:val="28"/>
          <w:szCs w:val="28"/>
        </w:rPr>
        <w:sectPr w:rsidR="00707C46" w:rsidRPr="006A6DDB">
          <w:headerReference w:type="default" r:id="rId7"/>
          <w:headerReference w:type="first" r:id="rId8"/>
          <w:pgSz w:w="11900" w:h="16840"/>
          <w:pgMar w:top="1236" w:right="866" w:bottom="992" w:left="1030" w:header="0" w:footer="3" w:gutter="0"/>
          <w:pgNumType w:start="1"/>
          <w:cols w:space="720"/>
          <w:noEndnote/>
          <w:titlePg/>
          <w:docGrid w:linePitch="360"/>
        </w:sectPr>
      </w:pPr>
      <w:r w:rsidRPr="006A6DDB">
        <w:rPr>
          <w:b/>
          <w:bCs/>
          <w:sz w:val="28"/>
          <w:szCs w:val="28"/>
        </w:rPr>
        <w:t xml:space="preserve">Министр                                                     </w:t>
      </w:r>
      <w:r w:rsidR="00286DE4">
        <w:rPr>
          <w:b/>
          <w:bCs/>
          <w:sz w:val="28"/>
          <w:szCs w:val="28"/>
        </w:rPr>
        <w:t xml:space="preserve">            </w:t>
      </w:r>
      <w:r w:rsidRPr="006A6DDB">
        <w:rPr>
          <w:b/>
          <w:bCs/>
          <w:sz w:val="28"/>
          <w:szCs w:val="28"/>
        </w:rPr>
        <w:t xml:space="preserve">           </w:t>
      </w:r>
      <w:r w:rsidR="00B9007D">
        <w:rPr>
          <w:b/>
          <w:bCs/>
          <w:sz w:val="28"/>
          <w:szCs w:val="28"/>
        </w:rPr>
        <w:t xml:space="preserve">                    К. Р. Саидо</w:t>
      </w:r>
      <w:bookmarkStart w:id="0" w:name="_GoBack"/>
      <w:bookmarkEnd w:id="0"/>
      <w:r w:rsidR="00B9007D">
        <w:rPr>
          <w:b/>
          <w:bCs/>
          <w:sz w:val="28"/>
          <w:szCs w:val="28"/>
        </w:rPr>
        <w:t>в</w:t>
      </w:r>
    </w:p>
    <w:p w:rsidR="00707C46" w:rsidRDefault="00707C46" w:rsidP="00B9007D">
      <w:pPr>
        <w:pStyle w:val="1"/>
        <w:spacing w:line="286" w:lineRule="auto"/>
        <w:ind w:firstLine="0"/>
        <w:jc w:val="both"/>
      </w:pPr>
    </w:p>
    <w:sectPr w:rsidR="00707C46">
      <w:headerReference w:type="default" r:id="rId9"/>
      <w:pgSz w:w="11900" w:h="16840"/>
      <w:pgMar w:top="903" w:right="438" w:bottom="929" w:left="1176" w:header="475" w:footer="5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8B8" w:rsidRDefault="00DB38B8">
      <w:r>
        <w:separator/>
      </w:r>
    </w:p>
  </w:endnote>
  <w:endnote w:type="continuationSeparator" w:id="0">
    <w:p w:rsidR="00DB38B8" w:rsidRDefault="00DB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8B8" w:rsidRDefault="00DB38B8"/>
  </w:footnote>
  <w:footnote w:type="continuationSeparator" w:id="0">
    <w:p w:rsidR="00DB38B8" w:rsidRDefault="00DB38B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B1D" w:rsidRDefault="00B32B1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2437B20" wp14:editId="71D72089">
              <wp:simplePos x="0" y="0"/>
              <wp:positionH relativeFrom="page">
                <wp:posOffset>3803015</wp:posOffset>
              </wp:positionH>
              <wp:positionV relativeFrom="page">
                <wp:posOffset>498475</wp:posOffset>
              </wp:positionV>
              <wp:extent cx="64135" cy="10668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2B1D" w:rsidRDefault="00B32B1D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9007D" w:rsidRPr="00B9007D">
                            <w:rPr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437B20"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299.45pt;margin-top:39.25pt;width:5.05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" filled="f" stroked="f">
              <v:textbox style="mso-fit-shape-to-text:t" inset="0,0,0,0">
                <w:txbxContent>
                  <w:p w:rsidR="00B32B1D" w:rsidRDefault="00B32B1D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9007D" w:rsidRPr="00B9007D">
                      <w:rPr>
                        <w:noProof/>
                        <w:sz w:val="24"/>
                        <w:szCs w:val="24"/>
                      </w:rPr>
                      <w:t>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B1D" w:rsidRDefault="00B32B1D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B1D" w:rsidRDefault="00B32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03F9F"/>
    <w:multiLevelType w:val="multilevel"/>
    <w:tmpl w:val="D136C48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413BF"/>
    <w:multiLevelType w:val="multilevel"/>
    <w:tmpl w:val="7200F4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205D6C"/>
    <w:multiLevelType w:val="multilevel"/>
    <w:tmpl w:val="7B54DF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239CF"/>
    <w:multiLevelType w:val="multilevel"/>
    <w:tmpl w:val="F30CA4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2826A8"/>
    <w:multiLevelType w:val="multilevel"/>
    <w:tmpl w:val="4A7CFDF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6C5B6F"/>
    <w:multiLevelType w:val="multilevel"/>
    <w:tmpl w:val="FCAAB2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C46"/>
    <w:rsid w:val="000D7D70"/>
    <w:rsid w:val="00286DE4"/>
    <w:rsid w:val="00665CF9"/>
    <w:rsid w:val="006A6DDB"/>
    <w:rsid w:val="00707C46"/>
    <w:rsid w:val="00B32B1D"/>
    <w:rsid w:val="00B9007D"/>
    <w:rsid w:val="00D60E77"/>
    <w:rsid w:val="00DB38B8"/>
    <w:rsid w:val="00E9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022FF-6D3F-44BC-8C9E-F505D470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283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21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spacing w:line="276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pPr>
      <w:spacing w:line="283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V</dc:creator>
  <cp:lastModifiedBy>A V</cp:lastModifiedBy>
  <cp:revision>2</cp:revision>
  <dcterms:created xsi:type="dcterms:W3CDTF">2025-04-04T11:56:00Z</dcterms:created>
  <dcterms:modified xsi:type="dcterms:W3CDTF">2025-04-04T11:56:00Z</dcterms:modified>
</cp:coreProperties>
</file>